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284" w:right="425"/>
        <w:jc w:val="center"/>
        <w:rPr>
          <w:b/>
        </w:rPr>
      </w:pPr>
      <w:r>
        <w:rPr>
          <w:b/>
        </w:rPr>
        <mc:AlternateContent>
          <mc:Choice Requires="wps">
            <w:drawing>
              <wp:anchor behindDoc="0" distT="5080" distB="5080" distL="5080" distR="5080" simplePos="0" locked="0" layoutInCell="1" allowOverlap="1" relativeHeight="2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473190" cy="9575800"/>
                <wp:effectExtent l="5080" t="5080" r="5080" b="5080"/>
                <wp:wrapNone/>
                <wp:docPr id="1" name="Rectangle 76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3160" cy="9575640"/>
                        </a:xfrm>
                        <a:prstGeom prst="rect">
                          <a:avLst/>
                        </a:prstGeom>
                        <a:noFill/>
                        <a:ln w="9360">
                          <a:solidFill>
                            <a:srgbClr val="333399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761" path="m0,0l-2147483645,0l-2147483645,-2147483646l0,-2147483646xe" stroked="t" o:allowincell="f" style="position:absolute;margin-left:0pt;margin-top:0.05pt;width:509.65pt;height:753.95pt;mso-wrap-style:none;v-text-anchor:middle">
                <v:fill o:detectmouseclick="t" on="false"/>
                <v:stroke color="#333399" weight="9360" joinstyle="miter" endcap="flat"/>
                <w10:wrap type="none"/>
              </v:rect>
            </w:pict>
          </mc:Fallback>
        </mc:AlternateContent>
      </w:r>
    </w:p>
    <w:p>
      <w:pPr>
        <w:pStyle w:val="Normal"/>
        <w:jc w:val="center"/>
        <w:rPr>
          <w:color w:val="000080"/>
          <w:sz w:val="36"/>
          <w:szCs w:val="36"/>
        </w:rPr>
      </w:pPr>
      <w:r>
        <w:rPr>
          <w:color w:val="000080"/>
          <w:sz w:val="36"/>
          <w:szCs w:val="36"/>
        </w:rPr>
        <w:t>ГЛАВНОЕ УПРАВЛЕНИЕ МЧС РОССИИ</w:t>
      </w:r>
    </w:p>
    <w:p>
      <w:pPr>
        <w:pStyle w:val="Normal"/>
        <w:jc w:val="center"/>
        <w:rPr>
          <w:color w:val="000080"/>
          <w:sz w:val="36"/>
          <w:szCs w:val="36"/>
        </w:rPr>
      </w:pPr>
      <w:r>
        <w:rPr>
          <w:color w:val="000080"/>
          <w:sz w:val="36"/>
          <w:szCs w:val="36"/>
        </w:rPr>
        <w:t>ПО СВЕРДЛОВСКОЙ ОБЛАСТИ</w:t>
      </w:r>
    </w:p>
    <w:p>
      <w:pPr>
        <w:pStyle w:val="Normal"/>
        <w:jc w:val="center"/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</w:r>
    </w:p>
    <w:p>
      <w:pPr>
        <w:pStyle w:val="Normal"/>
        <w:ind w:left="284" w:right="425"/>
        <w:jc w:val="center"/>
        <w:rPr>
          <w:b/>
          <w:bCs/>
          <w:color w:val="000080"/>
        </w:rPr>
      </w:pPr>
      <w:r>
        <w:rPr>
          <w:b/>
          <w:bCs/>
          <w:color w:val="000080"/>
        </w:rPr>
      </w:r>
    </w:p>
    <w:p>
      <w:pPr>
        <w:pStyle w:val="Normal"/>
        <w:ind w:left="284" w:right="425"/>
        <w:jc w:val="center"/>
        <w:rPr>
          <w:b/>
          <w:bCs/>
          <w:color w:val="000080"/>
          <w:sz w:val="32"/>
          <w:szCs w:val="32"/>
        </w:rPr>
      </w:pPr>
      <w:r>
        <w:rPr>
          <w:b/>
          <w:bCs/>
          <w:color w:val="000080"/>
          <w:sz w:val="32"/>
          <w:szCs w:val="32"/>
        </w:rPr>
      </w:r>
    </w:p>
    <w:p>
      <w:pPr>
        <w:pStyle w:val="Normal"/>
        <w:ind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sz w:val="40"/>
        </w:rPr>
      </w:pPr>
      <w:r>
        <w:rPr>
          <w:sz w:val="40"/>
        </w:rPr>
      </w:r>
    </w:p>
    <w:p>
      <w:pPr>
        <w:pStyle w:val="Heading1"/>
        <w:ind w:left="0" w:right="14"/>
        <w:rPr>
          <w:sz w:val="72"/>
          <w:szCs w:val="52"/>
        </w:rPr>
      </w:pPr>
      <w:r>
        <w:rPr>
          <w:sz w:val="72"/>
          <w:szCs w:val="52"/>
        </w:rPr>
        <w:t>АНАЛИЗ</w:t>
      </w:r>
    </w:p>
    <w:p>
      <w:pPr>
        <w:pStyle w:val="Heading1"/>
        <w:ind w:left="0" w:right="14"/>
        <w:rPr>
          <w:sz w:val="44"/>
          <w:szCs w:val="44"/>
        </w:rPr>
      </w:pPr>
      <w:r>
        <w:rPr>
          <w:sz w:val="44"/>
          <w:szCs w:val="44"/>
        </w:rPr>
        <w:t>ОБСТАНОВКИ С ПОЖАРАМИ</w:t>
      </w:r>
    </w:p>
    <w:p>
      <w:pPr>
        <w:pStyle w:val="Normal"/>
        <w:ind w:right="14"/>
        <w:jc w:val="center"/>
        <w:rPr>
          <w:b/>
          <w:bCs/>
          <w:color w:val="FF0000"/>
          <w:sz w:val="44"/>
          <w:szCs w:val="44"/>
        </w:rPr>
      </w:pPr>
      <w:r>
        <w:rPr>
          <w:b/>
          <w:bCs/>
          <w:color w:val="FF0000"/>
          <w:sz w:val="44"/>
          <w:szCs w:val="44"/>
        </w:rPr>
        <w:t>И ИХ ПОСЛЕДСТВИЯМИ</w:t>
      </w:r>
    </w:p>
    <w:p>
      <w:pPr>
        <w:pStyle w:val="Normal"/>
        <w:ind w:right="14"/>
        <w:jc w:val="center"/>
        <w:rPr>
          <w:b/>
          <w:bCs/>
          <w:color w:val="FF0000"/>
          <w:sz w:val="44"/>
          <w:szCs w:val="44"/>
        </w:rPr>
      </w:pPr>
      <w:r>
        <w:rPr>
          <w:b/>
          <w:bCs/>
          <w:color w:val="FF0000"/>
          <w:sz w:val="44"/>
          <w:szCs w:val="44"/>
        </w:rPr>
        <w:t>НА ТЕРРИТОРИИ</w:t>
      </w:r>
    </w:p>
    <w:p>
      <w:pPr>
        <w:pStyle w:val="Heading6"/>
        <w:ind w:left="0" w:right="14"/>
        <w:rPr>
          <w:sz w:val="44"/>
          <w:szCs w:val="44"/>
        </w:rPr>
      </w:pPr>
      <w:r>
        <w:rPr>
          <w:sz w:val="44"/>
          <w:szCs w:val="44"/>
        </w:rPr>
        <w:t>СВЕРДЛОВСКО</w:t>
      </w:r>
      <w:bookmarkStart w:id="0" w:name="_GoBack"/>
      <w:bookmarkEnd w:id="0"/>
      <w:r>
        <w:rPr>
          <w:sz w:val="44"/>
          <w:szCs w:val="44"/>
        </w:rPr>
        <w:t>Й ОБЛАСТИ</w:t>
      </w:r>
    </w:p>
    <w:p>
      <w:pPr>
        <w:pStyle w:val="Heading7"/>
        <w:ind w:left="0" w:right="14"/>
        <w:rPr>
          <w:i w:val="false"/>
          <w:i w:val="false"/>
          <w:iCs w:val="false"/>
          <w:sz w:val="44"/>
          <w:szCs w:val="44"/>
        </w:rPr>
      </w:pPr>
      <w:r>
        <w:rPr>
          <w:i w:val="false"/>
          <w:iCs w:val="false"/>
          <w:sz w:val="44"/>
          <w:szCs w:val="44"/>
        </w:rPr>
        <w:t xml:space="preserve">за </w:t>
      </w:r>
      <w:r>
        <w:rPr>
          <w:i w:val="false"/>
          <w:iCs w:val="false"/>
          <w:sz w:val="44"/>
          <w:szCs w:val="44"/>
        </w:rPr>
        <w:t>8</w:t>
      </w:r>
      <w:r>
        <w:rPr>
          <w:i w:val="false"/>
          <w:sz w:val="44"/>
          <w:szCs w:val="44"/>
        </w:rPr>
        <w:t xml:space="preserve"> </w:t>
      </w:r>
      <w:r>
        <w:rPr>
          <w:sz w:val="44"/>
          <w:szCs w:val="44"/>
        </w:rPr>
        <w:t>месяцев</w:t>
      </w:r>
      <w:r>
        <w:rPr>
          <w:i w:val="false"/>
          <w:sz w:val="44"/>
          <w:szCs w:val="44"/>
        </w:rPr>
        <w:t xml:space="preserve"> </w:t>
      </w:r>
      <w:r>
        <w:rPr>
          <w:sz w:val="44"/>
          <w:szCs w:val="44"/>
        </w:rPr>
        <w:t>2026</w:t>
      </w:r>
      <w:r>
        <w:rPr>
          <w:i w:val="false"/>
          <w:sz w:val="44"/>
          <w:szCs w:val="44"/>
        </w:rPr>
        <w:t xml:space="preserve"> года</w:t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Heading4"/>
        <w:rPr/>
      </w:pPr>
      <w:r>
        <w:rPr/>
        <w:t>Екатеринбург 2026</w:t>
      </w:r>
    </w:p>
    <w:p>
      <w:pPr>
        <w:sectPr>
          <w:headerReference w:type="even" r:id="rId2"/>
          <w:headerReference w:type="default" r:id="rId3"/>
          <w:headerReference w:type="first" r:id="rId4"/>
          <w:footerReference w:type="even" r:id="rId5"/>
          <w:footerReference w:type="default" r:id="rId6"/>
          <w:footerReference w:type="first" r:id="rId7"/>
          <w:type w:val="nextPage"/>
          <w:pgSz w:w="11906" w:h="16838"/>
          <w:pgMar w:left="851" w:right="424" w:gutter="0" w:header="315" w:top="480" w:footer="510" w:bottom="567"/>
          <w:pgNumType w:start="1" w:fmt="decimal"/>
          <w:formProt w:val="false"/>
          <w:titlePg/>
          <w:textDirection w:val="lrTb"/>
          <w:docGrid w:type="default" w:linePitch="360" w:charSpace="0"/>
        </w:sectPr>
        <w:pStyle w:val="Normal"/>
        <w:spacing w:before="0" w:after="0"/>
        <w:rPr/>
      </w:pPr>
      <w:r>
        <w:rPr/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Обстановка с пожарами и их последствиями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Свердловской области</w:t>
      </w:r>
    </w:p>
    <w:p>
      <w:pPr>
        <w:pStyle w:val="Normal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left"/>
        <w:rPr/>
      </w:pPr>
      <w:r>
        <w:rPr>
          <w:b/>
          <w:sz w:val="28"/>
          <w:szCs w:val="28"/>
        </w:rPr>
        <w:t>1. Общие сведения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 1 января 2026 г. по 31 августа 2026 г. включительно оперативная обстановка с пожарами в жилом секторе в Свердловской области по сравнению с аналогичным периодом прошлого года (АППГ) характеризовалась следующими основными показателями:</w:t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зарегистрировано 1649 пожаров (в 2025 г. - 1600 пожаров (увеличение на 3,1%));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при пожарах погибло 125 человек (в 2025 г. - 108 человек (увеличение на 15,7%)), в том числе 7 детей (в 2025 г. - 9 детей (снижение на -22,2%));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при пожарах травмировано 118 человек (в 2025 г. - 118 человек (стабильно)), в том числе 16 детей (в 2025 г. - 16 детей (стабильно)).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 Пожары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2.1. Распределение количества пожаров по основным объектам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- 35,6% (от количества пожаров в жилом секторе) в надворных постройках (587 пожаров);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- 30,7% в одноквартирных жилых домах, в т.ч. блокированных (506 пожаров);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- 24,6% произошло в многоквартирных жилых домах (406 пожаров);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- 9,1% в садовых домах и аналогичных (150 пожаров);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увеличение количества пожаров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одноквартирных жилых домах, в т.ч. блокированных (на 15,8%; 2025 - 437; 2026 - 506);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садовых домах и аналогичных (на 13,6%; 2025 - 132; 2026 - 150);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надворных постройках (на 2,1%; 2025 - 575; 2026 - 587);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По сравнению с АППГ снижение количества пожаров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многоквартирных жилых домах (на -11%; 2025 - 456; 2026 - 406);</w:t>
      </w:r>
    </w:p>
    <w:p>
      <w:pPr>
        <w:pStyle w:val="Normal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2.2. Распределение количества пожаров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- 52,5% (от количества пожаров в жилом секторе) в результате нарушения правил устройства и эксплуатации электрооборудования (866 пожаров);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- 20,7% в результате нарушения правил устройства и эксплуатации печного отопления (341 пожар);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- 15,3% произошло в результате неосторожного обращения с огнем (253 пожара);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- 5,3% в результате поджогов (87 пожаров);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- 0,7% в результате нарушения правил устройства и эксплуатации газового оборудования (11 пожаров);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- 0,4% в результате нарушения правил устройства и эксплуатации транспортных средств (6 пожаров);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- 5,2% в результате прочих причин (85 пожаров);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Зарегистрирован рост количества пожаров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электрооборудования (на 8,1%; 2025 - 801; 2026 - 866);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печного отопления (на 12,9%; 2025 - 302; 2026 - 341);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газового оборудования (на 57,1%; 2025 - 7; 2026 - 11);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прочих причин (на 63,5%; 2025 - 52; 2026 - 85);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Зарегистрировано снижение количества пожаров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поджогов (на -33,6%; 2025 - 131; 2026 - 87);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неосторожного обращения с огнем (на -15,7%; 2025 - 300; 2026 - 253);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транспортных средств (на -14,3%; 2025 - 7; 2026 - 6);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 Гибель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3.1 Распределение количества погибших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- 25,6% (от количества погибших в жилом секторе) в многоквартирных жилых домах (32 человека);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- 60,8% в одноквартирных жилых домах, в т.ч. блокированных (76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- 6,4% в садовых домах и аналогичных (8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- 7,2% в надворных постройках (9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По сравнению с АППГ увеличение количества погибших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одноквартирных жилых домах, в т.ч. блокированных (на 40,7%; 2025 - 54; 2026 - 76);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надворных постройках (на 80%; 2025 - 5; 2026 - 9);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снижение количества погибших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многоквартирных жилых домах (на -15,8%; 2025 - 38; 2026 - 32);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садовых домах и аналогичных (на -27,3%; 2025 - 11; 2026 - 8);</w:t>
      </w:r>
    </w:p>
    <w:p>
      <w:pPr>
        <w:pStyle w:val="Normal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3.2. Распределение количества погибших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- 42,4% (от количества погибших в жилом секторе) произошло в результате неосторожного обращения с огнем (53 человека);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- 40% в результате нарушения правил устройства и эксплуатации электрооборудования (50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- 10,4% в результате нарушения правил устройства и эксплуатации печного отопления (13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- 1,6% в результате нарушения правил устройства и эксплуатации газового оборудования (2 человека);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- 5,6% в результате прочих причин (7 человек).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Зарегистрирован рост количества погибших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неосторожного обращения с огнем (на 8,2%; 2025 - 49; 2026 - 53);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электрооборудования (на 8,7%; 2025 - 46; 2026 - 50);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печного отопления (в 4,3 раза; 2025 - 3; 2026 - 13);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газового оборудования (увеличение; 2025 - 0; 2026 - 2);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прочих причин (на 40%; 2025 - 5; 2026 - 7);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Зарегистрировано снижение количества погибших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поджогов (снижение; 2025 - 5; 2026 - 0);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3.3 Распределение количества погибших детей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- 71,4% в одноквартирных жилых домах, в т.ч. блокированных (5 детей);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- 28,6% в садовых домах и аналогичных (2 ребёнка);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увеличение количества погибших детей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одноквартирных жилых домах, в т.ч. блокированных (на 66,7%; 2025 - 3; 2026 - 5);</w:t>
      </w:r>
    </w:p>
    <w:p>
      <w:pPr>
        <w:pStyle w:val="Normal"/>
        <w:ind w:firstLine="709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снижение количества погибших детей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многоквартирных жилых домах (снижение; 2025 - 2; 2026 - 0);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садовых домах и аналогичных (в 2 раза; 2025 - 4; 2026 - 2);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3.4. Распределение количества погибших детей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- 85,7% (от количества погибших детей в жилом секторе) в результате неосторожного обращения с огнем (6 детей);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- 14,3% в результате нарушения правил устройства и эксплуатации электрооборудования (1 ребёнок);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Зарегистрирован рост количества погибших детей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неосторожного обращения с огнем (в 2 раза; 2025 - 3; 2026 - 6);</w:t>
      </w:r>
    </w:p>
    <w:p>
      <w:pPr>
        <w:pStyle w:val="Normal"/>
        <w:ind w:firstLine="709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Зарегистрировано снижение количества погибших детей по следующим основным причинам их возникновения:</w:t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 результате нарушения правил устройства и эксплуатации электрооборудования (в 6 раз; 2025 - 6; 2026 - 1);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 Травмы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4.1 Распределение количества травмированных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- 46,6% (от количества травмированных в жилом секторе) в многоквартирных жилых домах (55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- 25,4% в одноквартирных жилых домах, в т.ч. блокированных (30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- 15,3% в садовых домах и аналогичных (18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- 12,7% в надворных постройках (15 человек).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увеличение количества травмированных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 одноквартирных жилых домах, в т.ч. блокированных (на 36,4%; 2025 - 22; 2026 - 30);</w:t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 садовых домах и аналогичных (в 2,6 раза; 2025 - 7; 2026 - 18);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По сравнению с АППГ снижение количества травмированных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многоквартирных жилых домах (на -22,5%; 2025 - 71; 2026 - 55);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надворных постройках (на -16,7%; 2025 - 18; 2026 - 15);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4.2. Распределение количества травмированных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- 45,8% (от количества травмированных в жилом секторе) в результате нарушения правил устройства и эксплуатации электрооборудования (54 человека);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- 33,9% в результате неосторожного обращения с огнем (40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- 6,8% в результате нарушения правил устройства и эксплуатации печного отопления (8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- 4,2% в результате поджогов (5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- 1,7% в результате нарушения правил устройства и эксплуатации газового оборудования (2 человека);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- 7,6% в результате прочих причин (9 человек);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Зарегистрирован рост количества травмированных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неосторожного обращения с огнем (на 25%; 2025 - 32; 2026 - 40);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прочих причин (на 28,6%; 2025 - 7; 2026 - 9);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Зарегистрировано снижение количества травмированных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поджогов (на -16,7%; 2025 - 6; 2026 - 5);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электрооборудования (на -14,3%; 2025 - 63; 2026 - 54);</w:t>
      </w:r>
    </w:p>
    <w:p>
      <w:pPr>
        <w:pStyle w:val="Normal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4.3 Распределение количества травмированных детей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- 37,5% (от количества травмированных детей в жилом секторе) в садовых домах и аналогичных (6 детей);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- 31,3% в многоквартирных жилых домах (5 детей);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- 18,8% в надворных постройках (3 ребёнка);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- 12,5% в одноквартирных жилых домах, в т.ч. блокированных (2 ребёнка).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По сравнению с АППГ увеличение количества травмированных детей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садовых домах и аналогичных (в 3 раза; 2025 - 2; 2026 - 6);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надворных постройках (в 3 раза; 2025 - 1; 2026 - 3);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По сравнению с АППГ снижение количества травмированных детей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многоквартирных жилых домах (в 2 раза; 2025 - 10; 2026 - 5);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одноквартирных жилых домах, в т.ч. блокированных (на -33,3%; 2025 - 3; 2026 - 2);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4.4. Распределение количества травмированных детей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- 37,5% (от количества травмированных детей в жилом секторе) в результате неосторожного обращения с огнем (6 детей);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- 25% в результате нарушения правил устройства и эксплуатации электрооборудования (4 ребёнка);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- 12,5% в результате поджогов (2 ребёнка);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- 12,5% в результате нарушения правил устройства и эксплуатации печного отопления (2 ребёнка);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- 12,5% в результате прочих причин (2 ребёнка);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Зарегистрирован рост количества травмированных детей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поджогов (увеличение; 2025 - 0; 2026 - 2);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неосторожного обращения с огнем (в 2 раза; 2025 - 3; 2026 - 6);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печного отопления (увеличение; 2025 - 0; 2026 - 2);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прочих причин (увеличение; 2025 - 0; 2026 - 2);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Зарегистрировано снижение количества травмированных детей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электрооборудования (в 3,3 раза; 2025 - 13; 2026 - 4);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снижение количества погибших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многоквартирных жилых домах (на -15,8%; 2025 - 38; 2026 - 32);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садовых домах и аналогичных (на -27,3%; 2025 - 11; 2026 - 8);</w:t>
      </w:r>
    </w:p>
    <w:p>
      <w:pPr>
        <w:pStyle w:val="Normal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3.2. Распределение количества погибших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- 42,4% (от количества погибших в жилом секторе) произошло в результате неосторожного обращения с огнем (53 человека);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- 40% в результате нарушения правил устройства и эксплуатации электрооборудования (50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- 10,4% в результате нарушения правил устройства и эксплуатации печного отопления (13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- 1,6% в результате нарушения правил устройства и эксплуатации газового оборудования (2 человека);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- 5,6% в результате прочих причин (7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Зарегистрирован рост количества погибших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неосторожного обращения с огнем (на 8,2%; 2025 - 49; 2026 - 53);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электрооборудования (на 8,7%; 2025 - 46; 2026 - 50);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печного отопления (в 4,3 раза; 2025 - 3; 2026 - 13);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газового оборудования (увеличение; 2025 - 0; 2026 - 2);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прочих причин (на 40%; 2025 - 5; 2026 - 7);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Зарегистрировано снижение количества погибших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поджогов (снижение; 2025 - 5; 2026 - 0);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3.3 Распределение количества погибших детей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- 71,4% в одноквартирных жилых домах, в т.ч. блокированных (5 детей);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- 28,6% в садовых домах и аналогичных (2 ребёнка);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увеличение количества погибших детей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одноквартирных жилых домах, в т.ч. блокированных (на 66,7%; 2025 - 3; 2026 - 5);</w:t>
      </w:r>
    </w:p>
    <w:p>
      <w:pPr>
        <w:pStyle w:val="Normal"/>
        <w:ind w:firstLine="709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снижение количества погибших детей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многоквартирных жилых домах (снижение; 2025 - 2; 2026 - 0);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садовых домах и аналогичных (в 2 раза; 2025 - 4; 2026 - 2);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3.4. Распределение количества погибших детей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- 85,7% (от количества погибших детей в жилом секторе) в результате неосторожного обращения с огнем (6 детей);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- 14,3% в результате нарушения правил устройства и эксплуатации электрооборудования (1 ребёнок);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Зарегистрирован рост количества погибших детей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неосторожного обращения с огнем (в 2 раза; 2025 - 3; 2026 - 6);</w:t>
      </w:r>
    </w:p>
    <w:p>
      <w:pPr>
        <w:pStyle w:val="Normal"/>
        <w:ind w:firstLine="709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Зарегистрировано снижение количества погибших детей по следующим основным причинам их возникновения:</w:t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- в результате нарушения правил устройства и эксплуатации электрооборудования (в 6 раз; 2025 - 6; 2026 - 1);</w:t>
      </w:r>
      <w:bookmarkStart w:id="1" w:name="_GoBack_Копия_1"/>
      <w:bookmarkEnd w:id="1"/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Обстановка с пожарами с гибелью детей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Свердловской области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Свердловской области за период с 01.01.2026 г. по 31.08.2026 г. произошло 3 пожара с гибелью детей, снижение на -40 % в сравнении с аналогичным периодом прошлого года (АППГ) (2025 - 5 пожаров). С травмами детей произошло 12 пожаров, стабильно в сравнении с АППГ (2025 - 12 пожаров).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пожарах погибло 7 детей, снижение на -36,4 % (2025 - 11 детей). Травмировано 18 детей, увеличение на 5,9 % (2025 - 17 детей).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указанный период дошкольного возраста (до 7 лет) погибло 8103 ребёнка (115757% от общего количества) и 382 ребёнка травмировано (2122%), с 7 до 11 лет погиб 111 детей (1586%) и 18 детей травмировано (100%), подростков от 11 до 18 лет погибло 42 ребёнка (600%) и 9 детей травмировано (50%).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Погибших мальчиков (4 ребёнка), больше чем девочек (3 ребёнка). Травмированных мальчиков (13 детей), больше чем девочек (5 детей).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b/>
          <w:sz w:val="28"/>
          <w:szCs w:val="28"/>
        </w:rPr>
        <w:t>Распределение по виновным лицам:</w:t>
      </w:r>
      <w:r>
        <w:rPr>
          <w:sz w:val="28"/>
          <w:szCs w:val="28"/>
          <w:u w:val="single"/>
        </w:rPr>
        <w:t xml:space="preserve">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 вине детей до 7 лет погибших и травмированных нет,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 вине детей 7-11 лет погибших и травмированных нет,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 вине детей 11-18 лет погибло 2 ребёнка (29%) и 6 детей травмировано (33%);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 вине людей старше 18 лет погибших и травмированных нет.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Нет данных по виновному лицу – погибло 5 детей (71%) и 12 детей травмировано (67%).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b/>
          <w:sz w:val="28"/>
          <w:szCs w:val="28"/>
        </w:rPr>
        <w:t>Распределение по местам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 объектах жилого назначения - погибло 7 детей (100% от общего количества) и  травмировано 13 детей (72%);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надворных постройках -  травмировано 3 ребёнка (17%);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 открытой территории -  травмировано 2 ребёнка (11%);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Распределение по типам зданий: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одноэтажных зданиях погибло 5 детей (71% от общего количества) и  травмировано 6 детей (33%); в двухэтажных зданиях погибло 2 ребёнка (29%) и  травмировано 6 детей (33%); в зданиях от трех этажей и выше  травмировано 4 ребёнка (22%). Вне здания погибших и травмированных детей нет.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зданиях пятой степени огнестойкости погибло 3 ребёнка (43% от общего количества) и  травмировано 11 детей (61%); в зданиях третей и четвертой степени огнестойкости погибло 4 ребёнка (57%) и  травмировано 3 ребёнка (17%); в зданиях первой и второй степени огнестойкости  травмировано 2 ребёнка (11%). Вне здания  травмировано 2 ребёнка (11%).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b/>
          <w:sz w:val="28"/>
          <w:szCs w:val="28"/>
        </w:rPr>
        <w:t>Распределение по причинам возникновения:</w:t>
      </w:r>
      <w:r>
        <w:rPr>
          <w:sz w:val="28"/>
          <w:szCs w:val="28"/>
          <w:u w:val="single"/>
        </w:rPr>
        <w:t xml:space="preserve">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неосторожного обращения с огнем – погибло 6 детей (86% от общего количества) и  травмировано 6 детей (33%);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(НПУиЭ) электрооборудования – погиб 1 ребёнок (14%) и  травмировано 4 ребёнка (22%);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НПУиЭ печного отопления –  травмировано 2 ребёнка (11%);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поджогов -  травмировано 2 ребёнка (11%);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НПУиЭ транспорных средств -  травмирован 1 ребёнок (6%);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прочих причин –  травмировано 3 ребёнка (17%).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городах погибло 2 ребёнка (29% от общего количества) и  травмировано 16 детей (89%). В сельской местности погибло 5 детей (71%) и  травмировано 2 ребёнка (11%);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b/>
          <w:sz w:val="28"/>
          <w:szCs w:val="28"/>
        </w:rPr>
        <w:t>Распределение по времени:</w:t>
      </w:r>
      <w:r>
        <w:rPr>
          <w:sz w:val="28"/>
          <w:szCs w:val="28"/>
          <w:u w:val="single"/>
        </w:rPr>
        <w:t xml:space="preserve">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рабочее время (с 08.00 до 18.00) – погибло 6 детей (86% от общего количества) и  травмировано 8 детей (44%);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вечернее время (с 18.00 до 24.00) –  травмировано 2 ребёнка (11%);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ночное время (с 24.00 до 8.00) – погиб 1 ребёнок (14%) и  травмировано 7 детей (39%).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Время возникновения не установлено –  травмирован 1 ребёнок (6%);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b/>
          <w:sz w:val="28"/>
          <w:szCs w:val="28"/>
        </w:rPr>
        <w:t>Распределение по дням недели:</w:t>
      </w:r>
      <w:r>
        <w:rPr>
          <w:sz w:val="28"/>
          <w:szCs w:val="28"/>
          <w:u w:val="single"/>
        </w:rPr>
        <w:t xml:space="preserve">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понедельник - погибло 4 ребёнка (57% от общего количества) и  травмирован 1 ребёнок (6%);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во вторник -  травмирован 1 ребёнок (6%);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четверг - погибло 3 ребёнка (43%) и  травмировано 7 детей (39%);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пятницу -  травмировано 5 детей (28%);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субботу -  травмирован 1 ребёнок (6%);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воскресенье -  травмировано 3 ребёнка (17%);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Гибель детей по муниципальным образованиям</w:t>
      </w:r>
    </w:p>
    <w:p>
      <w:pPr>
        <w:pStyle w:val="Normal"/>
        <w:spacing w:before="120" w:after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817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194"/>
        <w:gridCol w:w="836"/>
        <w:gridCol w:w="840"/>
        <w:gridCol w:w="816"/>
        <w:gridCol w:w="835"/>
        <w:gridCol w:w="841"/>
        <w:gridCol w:w="815"/>
      </w:tblGrid>
      <w:tr>
        <w:trPr>
          <w:trHeight w:val="375" w:hRule="atLeast"/>
        </w:trPr>
        <w:tc>
          <w:tcPr>
            <w:tcW w:w="3194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Гибель дети по МО</w:t>
            </w:r>
          </w:p>
        </w:tc>
        <w:tc>
          <w:tcPr>
            <w:tcW w:w="836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1656" w:type="dxa"/>
            <w:gridSpan w:val="2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01.01.2026</w:t>
            </w:r>
          </w:p>
        </w:tc>
        <w:tc>
          <w:tcPr>
            <w:tcW w:w="835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1656" w:type="dxa"/>
            <w:gridSpan w:val="2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31.08.2026</w:t>
            </w:r>
          </w:p>
        </w:tc>
      </w:tr>
      <w:tr>
        <w:trPr>
          <w:trHeight w:val="585" w:hRule="atLeast"/>
        </w:trPr>
        <w:tc>
          <w:tcPr>
            <w:tcW w:w="31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МО</w:t>
            </w:r>
          </w:p>
        </w:tc>
        <w:tc>
          <w:tcPr>
            <w:tcW w:w="167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пожаров</w:t>
            </w:r>
          </w:p>
        </w:tc>
        <w:tc>
          <w:tcPr>
            <w:tcW w:w="81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  <w:tc>
          <w:tcPr>
            <w:tcW w:w="167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погибших</w:t>
            </w:r>
          </w:p>
        </w:tc>
        <w:tc>
          <w:tcPr>
            <w:tcW w:w="81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</w:tr>
      <w:tr>
        <w:trPr>
          <w:trHeight w:val="315" w:hRule="atLeast"/>
        </w:trPr>
        <w:tc>
          <w:tcPr>
            <w:tcW w:w="31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2026</w:t>
            </w:r>
          </w:p>
        </w:tc>
        <w:tc>
          <w:tcPr>
            <w:tcW w:w="81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2026</w:t>
            </w:r>
          </w:p>
        </w:tc>
        <w:tc>
          <w:tcPr>
            <w:tcW w:w="8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283" w:hRule="atLeast"/>
        </w:trPr>
        <w:tc>
          <w:tcPr>
            <w:tcW w:w="3194" w:type="dxa"/>
            <w:tcBorders>
              <w:left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Свердловская область: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816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-40,0</w:t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-36,4</w:t>
            </w:r>
          </w:p>
        </w:tc>
      </w:tr>
      <w:tr>
        <w:trPr>
          <w:trHeight w:val="144" w:hRule="atLeast"/>
        </w:trPr>
        <w:tc>
          <w:tcPr>
            <w:tcW w:w="3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Туринский ГО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4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70" w:hRule="atLeast"/>
        </w:trPr>
        <w:tc>
          <w:tcPr>
            <w:tcW w:w="319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Серовский ГО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70" w:hRule="atLeast"/>
        </w:trPr>
        <w:tc>
          <w:tcPr>
            <w:tcW w:w="319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Горноуральский ГО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70" w:hRule="atLeast"/>
        </w:trPr>
        <w:tc>
          <w:tcPr>
            <w:tcW w:w="319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Сысертский ГО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70" w:hRule="atLeast"/>
        </w:trPr>
        <w:tc>
          <w:tcPr>
            <w:tcW w:w="319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Сосьвинский ГО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123" w:hRule="atLeast"/>
        </w:trPr>
        <w:tc>
          <w:tcPr>
            <w:tcW w:w="319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Ирбитское МО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70" w:hRule="atLeast"/>
        </w:trPr>
        <w:tc>
          <w:tcPr>
            <w:tcW w:w="319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МО город Екатеринбург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4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70" w:hRule="atLeast"/>
        </w:trPr>
        <w:tc>
          <w:tcPr>
            <w:tcW w:w="319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Белоярский ГО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стаб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стаб</w:t>
            </w:r>
          </w:p>
        </w:tc>
      </w:tr>
      <w:tr>
        <w:trPr>
          <w:trHeight w:val="70" w:hRule="atLeast"/>
        </w:trPr>
        <w:tc>
          <w:tcPr>
            <w:tcW w:w="319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Асбестовский ГО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  <w:bookmarkStart w:id="2" w:name="RANGE!B1%3AH73"/>
            <w:bookmarkEnd w:id="2"/>
          </w:p>
        </w:tc>
      </w:tr>
    </w:tbl>
    <w:p>
      <w:pPr>
        <w:pStyle w:val="Normal"/>
        <w:spacing w:before="120" w:after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Травмы детей по муниципальным образованиям</w:t>
      </w:r>
    </w:p>
    <w:p>
      <w:pPr>
        <w:pStyle w:val="Normal"/>
        <w:spacing w:before="120" w:after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896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664"/>
        <w:gridCol w:w="836"/>
        <w:gridCol w:w="833"/>
        <w:gridCol w:w="822"/>
        <w:gridCol w:w="837"/>
        <w:gridCol w:w="840"/>
        <w:gridCol w:w="1135"/>
      </w:tblGrid>
      <w:tr>
        <w:trPr>
          <w:trHeight w:val="375" w:hRule="atLeast"/>
        </w:trPr>
        <w:tc>
          <w:tcPr>
            <w:tcW w:w="3664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Травмы дети по МО</w:t>
            </w:r>
          </w:p>
        </w:tc>
        <w:tc>
          <w:tcPr>
            <w:tcW w:w="836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1655" w:type="dxa"/>
            <w:gridSpan w:val="2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01.01.2026</w:t>
            </w:r>
          </w:p>
        </w:tc>
        <w:tc>
          <w:tcPr>
            <w:tcW w:w="837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1975" w:type="dxa"/>
            <w:gridSpan w:val="2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31.08.2026</w:t>
            </w:r>
          </w:p>
        </w:tc>
      </w:tr>
      <w:tr>
        <w:trPr>
          <w:trHeight w:val="660" w:hRule="atLeast"/>
        </w:trPr>
        <w:tc>
          <w:tcPr>
            <w:tcW w:w="36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МО</w:t>
            </w:r>
          </w:p>
        </w:tc>
        <w:tc>
          <w:tcPr>
            <w:tcW w:w="166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пожаров</w:t>
            </w:r>
          </w:p>
        </w:tc>
        <w:tc>
          <w:tcPr>
            <w:tcW w:w="82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  <w:tc>
          <w:tcPr>
            <w:tcW w:w="167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травми-рованных</w:t>
            </w:r>
          </w:p>
        </w:tc>
        <w:tc>
          <w:tcPr>
            <w:tcW w:w="113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</w:tr>
      <w:tr>
        <w:trPr>
          <w:trHeight w:val="315" w:hRule="atLeast"/>
        </w:trPr>
        <w:tc>
          <w:tcPr>
            <w:tcW w:w="36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8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2026</w:t>
            </w:r>
          </w:p>
        </w:tc>
        <w:tc>
          <w:tcPr>
            <w:tcW w:w="82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2026</w:t>
            </w:r>
          </w:p>
        </w:tc>
        <w:tc>
          <w:tcPr>
            <w:tcW w:w="113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121" w:hRule="atLeast"/>
        </w:trPr>
        <w:tc>
          <w:tcPr>
            <w:tcW w:w="3664" w:type="dxa"/>
            <w:tcBorders>
              <w:left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Свердловская область: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833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822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стаб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5,9</w:t>
            </w:r>
          </w:p>
        </w:tc>
      </w:tr>
      <w:tr>
        <w:trPr>
          <w:trHeight w:val="70" w:hRule="atLeast"/>
        </w:trPr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МО город Екатеринбург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5</w:t>
            </w:r>
          </w:p>
        </w:tc>
        <w:tc>
          <w:tcPr>
            <w:tcW w:w="8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4</w:t>
            </w:r>
          </w:p>
        </w:tc>
        <w:tc>
          <w:tcPr>
            <w:tcW w:w="82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-20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4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 в 2,5</w:t>
            </w:r>
          </w:p>
        </w:tc>
      </w:tr>
      <w:tr>
        <w:trPr>
          <w:trHeight w:val="257" w:hRule="atLeast"/>
        </w:trPr>
        <w:tc>
          <w:tcPr>
            <w:tcW w:w="366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Серовский ГО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82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6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315" w:hRule="atLeast"/>
        </w:trPr>
        <w:tc>
          <w:tcPr>
            <w:tcW w:w="366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Ревда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2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стаб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 в 2</w:t>
            </w:r>
          </w:p>
        </w:tc>
      </w:tr>
      <w:tr>
        <w:trPr>
          <w:trHeight w:val="266" w:hRule="atLeast"/>
        </w:trPr>
        <w:tc>
          <w:tcPr>
            <w:tcW w:w="366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МО город Каменск-Уральский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2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315" w:hRule="atLeast"/>
        </w:trPr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Режевской ГО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стаб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стаб</w:t>
            </w:r>
          </w:p>
        </w:tc>
      </w:tr>
      <w:tr>
        <w:trPr>
          <w:trHeight w:val="315" w:hRule="atLeast"/>
        </w:trPr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Каменский ГО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2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315" w:hRule="atLeast"/>
        </w:trPr>
        <w:tc>
          <w:tcPr>
            <w:tcW w:w="366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Красноуфимск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2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70" w:hRule="atLeast"/>
        </w:trPr>
        <w:tc>
          <w:tcPr>
            <w:tcW w:w="366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МО Красноуфимский округ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2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315" w:hRule="atLeast"/>
        </w:trPr>
        <w:tc>
          <w:tcPr>
            <w:tcW w:w="366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Верхотурский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2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366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Староуткинск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2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366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МО Алапаевское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2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366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Среднеуральск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2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366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Ивдельский ГО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2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стаб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стаб</w:t>
            </w:r>
          </w:p>
        </w:tc>
      </w:tr>
      <w:tr>
        <w:trPr>
          <w:trHeight w:val="315" w:hRule="atLeast"/>
        </w:trPr>
        <w:tc>
          <w:tcPr>
            <w:tcW w:w="366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Асбестовский ГО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2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</w:tbl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  <w:szCs w:val="24"/>
        </w:rPr>
        <w:t>Обстановка с пожарами и их последствиями</w:t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  <w:t>на территории Серовского муниципального округа</w:t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  <w:bookmarkStart w:id="3" w:name="_GoBack_Копия_2"/>
      <w:bookmarkStart w:id="4" w:name="_GoBack_Копия_2"/>
      <w:bookmarkEnd w:id="4"/>
    </w:p>
    <w:p>
      <w:pPr>
        <w:pStyle w:val="Normal"/>
        <w:jc w:val="center"/>
        <w:rPr>
          <w:sz w:val="28"/>
        </w:rPr>
      </w:pPr>
      <w:r>
        <w:rPr>
          <w:sz w:val="28"/>
        </w:rPr>
        <w:t xml:space="preserve">По состоянию </w:t>
      </w:r>
      <w:r>
        <w:rPr>
          <w:b/>
          <w:bCs/>
          <w:sz w:val="28"/>
          <w:u w:val="single"/>
        </w:rPr>
        <w:t xml:space="preserve">на </w:t>
      </w:r>
      <w:r>
        <w:rPr>
          <w:b/>
          <w:bCs/>
          <w:sz w:val="28"/>
          <w:u w:val="single"/>
        </w:rPr>
        <w:t>08</w:t>
      </w:r>
      <w:r>
        <w:rPr>
          <w:b/>
          <w:bCs/>
          <w:sz w:val="28"/>
          <w:u w:val="single"/>
        </w:rPr>
        <w:t xml:space="preserve"> </w:t>
      </w:r>
      <w:r>
        <w:rPr>
          <w:b/>
          <w:bCs/>
          <w:sz w:val="28"/>
          <w:u w:val="single"/>
        </w:rPr>
        <w:t>сентября</w:t>
      </w:r>
      <w:r>
        <w:rPr>
          <w:b/>
          <w:bCs/>
          <w:sz w:val="28"/>
          <w:u w:val="single"/>
        </w:rPr>
        <w:t xml:space="preserve"> 2026 года</w:t>
      </w:r>
      <w:r>
        <w:rPr>
          <w:b/>
          <w:bCs/>
          <w:sz w:val="28"/>
        </w:rPr>
        <w:t xml:space="preserve"> </w:t>
      </w:r>
      <w:r>
        <w:rPr>
          <w:sz w:val="28"/>
        </w:rPr>
        <w:t>оперативная обстановка с пожарами на территории Серовского муниципального  округа по сравнению с аналогичным периодом прошлого года (АППГ) характеризовалась следующими основными показателями: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 xml:space="preserve">- зарегистрировано  </w:t>
      </w:r>
      <w:r>
        <w:rPr>
          <w:sz w:val="28"/>
        </w:rPr>
        <w:t>100</w:t>
      </w:r>
      <w:r>
        <w:rPr>
          <w:sz w:val="28"/>
        </w:rPr>
        <w:t xml:space="preserve"> пожара (в 2025 г. – 11</w:t>
      </w:r>
      <w:r>
        <w:rPr>
          <w:sz w:val="28"/>
        </w:rPr>
        <w:t>9</w:t>
      </w:r>
      <w:r>
        <w:rPr>
          <w:sz w:val="28"/>
        </w:rPr>
        <w:t>);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 xml:space="preserve">- при пожарах погибли  5  человек (двое из которых несовершеннолетние) (в 2025г. – </w:t>
      </w:r>
      <w:r>
        <w:rPr>
          <w:sz w:val="28"/>
        </w:rPr>
        <w:t>3</w:t>
      </w:r>
      <w:r>
        <w:rPr>
          <w:sz w:val="28"/>
        </w:rPr>
        <w:t>);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>- при пожарах получили травмы  8 человек (шесть из которых несовершеннолетние) (в 2025 г.–6);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>Основные причины пожаров – это, прежде всего неосторожное обращение с огнем, нарушение правил пожарной безопасности при эксплуатации печей и бытовых электроприборов. Проанализировав пожары по местам возникновения, видно, что большинство пожаров происходит в жилом секторе.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>Часто можно услышать, что пожар это случайность, и никто не застрахован от него. Но это не так, в большинстве случаев пожар – результат возмутительной беспечности и небрежного отношения людей к соблюдению правил пожарной безопасности.</w:t>
      </w:r>
    </w:p>
    <w:p>
      <w:pPr>
        <w:pStyle w:val="Normal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jc w:val="center"/>
        <w:rPr>
          <w:b/>
          <w:i/>
          <w:i/>
          <w:color w:val="000000"/>
          <w:sz w:val="28"/>
          <w:u w:val="single"/>
        </w:rPr>
      </w:pPr>
      <w:r>
        <w:rPr>
          <w:b/>
          <w:i/>
          <w:color w:val="000000"/>
          <w:sz w:val="28"/>
          <w:u w:val="single"/>
        </w:rPr>
        <w:t>Примеры некоторых пожаров произошедших в 2026 г.</w:t>
      </w:r>
    </w:p>
    <w:p>
      <w:pPr>
        <w:pStyle w:val="Normal"/>
        <w:jc w:val="center"/>
        <w:rPr>
          <w:b/>
          <w:bCs/>
          <w:sz w:val="28"/>
          <w:highlight w:val="none"/>
          <w:shd w:fill="auto" w:val="clear"/>
        </w:rPr>
      </w:pPr>
      <w:r>
        <w:rPr>
          <w:b/>
          <w:bCs/>
          <w:sz w:val="28"/>
          <w:shd w:fill="auto" w:val="clear"/>
        </w:rPr>
      </w:r>
    </w:p>
    <w:p>
      <w:pPr>
        <w:pStyle w:val="Normal"/>
        <w:jc w:val="center"/>
        <w:rPr>
          <w:sz w:val="28"/>
        </w:rPr>
      </w:pPr>
      <w:r>
        <w:rPr>
          <w:b/>
          <w:bCs/>
          <w:sz w:val="28"/>
        </w:rPr>
        <w:t xml:space="preserve">20 апреля 2026 года </w:t>
      </w:r>
      <w:r>
        <w:rPr>
          <w:sz w:val="28"/>
        </w:rPr>
        <w:t>в 02-20 на пункт связи  56 ПСЧ 6 ПСО ФПС ГПС ГУ МЧС России по Свердловской области поступило сообщение о пожаре садового домика в коллективном саду механического завода район п. Медянкино на S=72 кв.м, в результате пожара погиб мужчин 1984 года рождения. Предполагаемой причиной пожара явилось неправильная эксплуатация электрооборудования.</w:t>
      </w:r>
    </w:p>
    <w:p>
      <w:pPr>
        <w:pStyle w:val="Normal"/>
        <w:jc w:val="center"/>
        <w:rPr/>
      </w:pPr>
      <w:r>
        <w:rPr>
          <w:b/>
          <w:bCs/>
          <w:sz w:val="28"/>
        </w:rPr>
        <w:t xml:space="preserve">06 августа 2026 года </w:t>
      </w:r>
      <w:r>
        <w:rPr>
          <w:sz w:val="28"/>
        </w:rPr>
        <w:t>в 09-09 на пункт связи  56 ПСЧ 6 ПСО ФПС ГПС ГУ МЧС России по Свердловской области поступило сообщение о пожа</w:t>
      </w:r>
      <w:r>
        <w:rPr>
          <w:rFonts w:eastAsia="Times New Roman" w:cs="Times New Roman"/>
          <w:color w:val="auto"/>
          <w:kern w:val="0"/>
          <w:sz w:val="28"/>
          <w:szCs w:val="24"/>
          <w:lang w:val="ru-RU" w:eastAsia="ru-RU" w:bidi="ar-SA"/>
        </w:rPr>
        <w:t>ре жилого многоквартирного дома по проспекту Серова на S=2 кв.м, в результате пожара женщина- 1962 года получила множественные ожоги III степени верхних и нижних конечностей, лица, шок I первой степени и была госпитализирована в ГАУЗ СО «Серовскую городскую больницу».  Предположительная  причина  пожара- неосторожного обращения с огнем.</w:t>
      </w:r>
    </w:p>
    <w:p>
      <w:pPr>
        <w:pStyle w:val="Normal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jc w:val="center"/>
        <w:rPr>
          <w:sz w:val="28"/>
        </w:rPr>
      </w:pPr>
      <w:r>
        <w:rPr>
          <w:sz w:val="28"/>
        </w:rPr>
        <w:t>Помните!  Соблюдение мер пожарной безопасности – это залог вашего благополучия, сохранности вашей жизни и жизни ваших близких! Правильные действия при эвакуации это сохранность вашей жизни и жизни ваших близких!</w:t>
      </w:r>
    </w:p>
    <w:sectPr>
      <w:headerReference w:type="even" r:id="rId8"/>
      <w:headerReference w:type="default" r:id="rId9"/>
      <w:headerReference w:type="first" r:id="rId10"/>
      <w:footerReference w:type="even" r:id="rId11"/>
      <w:footerReference w:type="default" r:id="rId12"/>
      <w:footerReference w:type="first" r:id="rId13"/>
      <w:type w:val="nextPage"/>
      <w:pgSz w:w="11906" w:h="16838"/>
      <w:pgMar w:left="851" w:right="424" w:gutter="0" w:header="315" w:top="480" w:footer="510" w:bottom="567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PT Astra Serif">
    <w:charset w:val="cc"/>
    <w:family w:val="roman"/>
    <w:pitch w:val="variable"/>
  </w:font>
  <w:font w:name="Tahoma"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960871547"/>
    </w:sdtPr>
    <w:sdtContent>
      <w:p>
        <w:pPr>
          <w:pStyle w:val="Header"/>
          <w:jc w:val="center"/>
          <w:rPr/>
        </w:pPr>
        <w:r>
          <w:rPr/>
        </w:r>
      </w:p>
    </w:sdtContent>
  </w:sdt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960871547"/>
    </w:sdtPr>
    <w:sdtContent>
      <w:p>
        <w:pPr>
          <w:pStyle w:val="Header"/>
          <w:jc w:val="center"/>
          <w:rPr/>
        </w:pPr>
        <w:r>
          <w:rPr/>
        </w:r>
      </w:p>
    </w:sdtContent>
  </w:sdt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960871547"/>
    </w:sdtPr>
    <w:sdtContent>
      <w:p>
        <w:pPr>
          <w:pStyle w:val="Header"/>
          <w:jc w:val="center"/>
          <w:rPr/>
        </w:pPr>
        <w:r>
          <w:rPr/>
        </w:r>
      </w:p>
    </w:sdtContent>
  </w:sdt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55a7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ing1">
    <w:name w:val="heading 1"/>
    <w:basedOn w:val="Normal"/>
    <w:next w:val="Normal"/>
    <w:qFormat/>
    <w:rsid w:val="00040e13"/>
    <w:pPr>
      <w:keepNext w:val="true"/>
      <w:ind w:left="284" w:right="425"/>
      <w:jc w:val="center"/>
      <w:outlineLvl w:val="0"/>
    </w:pPr>
    <w:rPr>
      <w:b/>
      <w:bCs/>
      <w:color w:val="FF0000"/>
      <w:sz w:val="36"/>
    </w:rPr>
  </w:style>
  <w:style w:type="paragraph" w:styleId="Heading4">
    <w:name w:val="heading 4"/>
    <w:basedOn w:val="Normal"/>
    <w:next w:val="Normal"/>
    <w:qFormat/>
    <w:rsid w:val="00040e13"/>
    <w:pPr>
      <w:keepNext w:val="true"/>
      <w:ind w:left="284" w:right="425"/>
      <w:jc w:val="center"/>
      <w:textAlignment w:val="baseline"/>
      <w:outlineLvl w:val="3"/>
    </w:pPr>
    <w:rPr>
      <w:b/>
      <w:bCs/>
      <w:i/>
      <w:color w:val="000080"/>
      <w:spacing w:val="-2"/>
      <w:szCs w:val="20"/>
    </w:rPr>
  </w:style>
  <w:style w:type="paragraph" w:styleId="Heading6">
    <w:name w:val="heading 6"/>
    <w:basedOn w:val="Normal"/>
    <w:next w:val="Normal"/>
    <w:qFormat/>
    <w:rsid w:val="00040e13"/>
    <w:pPr>
      <w:keepNext w:val="true"/>
      <w:ind w:left="284" w:right="425"/>
      <w:jc w:val="center"/>
      <w:textAlignment w:val="baseline"/>
      <w:outlineLvl w:val="5"/>
    </w:pPr>
    <w:rPr>
      <w:b/>
      <w:bCs/>
      <w:iCs/>
      <w:color w:val="FF0000"/>
      <w:spacing w:val="-2"/>
      <w:sz w:val="32"/>
      <w:szCs w:val="20"/>
    </w:rPr>
  </w:style>
  <w:style w:type="paragraph" w:styleId="Heading7">
    <w:name w:val="heading 7"/>
    <w:basedOn w:val="Normal"/>
    <w:next w:val="Normal"/>
    <w:qFormat/>
    <w:rsid w:val="00040e13"/>
    <w:pPr>
      <w:keepNext w:val="true"/>
      <w:ind w:left="284" w:right="425"/>
      <w:jc w:val="center"/>
      <w:textAlignment w:val="baseline"/>
      <w:outlineLvl w:val="6"/>
    </w:pPr>
    <w:rPr>
      <w:b/>
      <w:bCs/>
      <w:i/>
      <w:iCs/>
      <w:color w:val="FF0000"/>
      <w:spacing w:val="-2"/>
      <w:sz w:val="32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sid w:val="00b828e9"/>
    <w:rPr/>
  </w:style>
  <w:style w:type="character" w:styleId="Hyperlink" w:customStyle="1">
    <w:name w:val="Hyperlink"/>
    <w:basedOn w:val="DefaultParagraphFont"/>
    <w:unhideWhenUsed/>
    <w:qFormat/>
    <w:rsid w:val="001b66ff"/>
    <w:rPr>
      <w:color w:themeColor="hyperlink" w:val="0000FF"/>
      <w:u w:val="single"/>
    </w:rPr>
  </w:style>
  <w:style w:type="character" w:styleId="Style10" w:customStyle="1">
    <w:name w:val="Верхний колонтитул Знак"/>
    <w:basedOn w:val="DefaultParagraphFont"/>
    <w:uiPriority w:val="99"/>
    <w:qFormat/>
    <w:rsid w:val="00872e93"/>
    <w:rPr>
      <w:sz w:val="24"/>
      <w:szCs w:val="24"/>
    </w:rPr>
  </w:style>
  <w:style w:type="paragraph" w:styleId="Style1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Style12">
    <w:name w:val="Указатель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IndexHeading">
    <w:name w:val="index heading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13" w:customStyle="1">
    <w:name w:val="Верхний и нижний колонтитулы"/>
    <w:basedOn w:val="Normal"/>
    <w:qFormat/>
    <w:pPr/>
    <w:rPr/>
  </w:style>
  <w:style w:type="paragraph" w:styleId="Style14">
    <w:name w:val="Колонтитулы"/>
    <w:basedOn w:val="Normal"/>
    <w:qFormat/>
    <w:pPr/>
    <w:rPr/>
  </w:style>
  <w:style w:type="paragraph" w:styleId="user2">
    <w:name w:val="Колонтитулы (user)"/>
    <w:basedOn w:val="Normal"/>
    <w:qFormat/>
    <w:pPr/>
    <w:rPr/>
  </w:style>
  <w:style w:type="paragraph" w:styleId="Header">
    <w:name w:val="header"/>
    <w:basedOn w:val="Normal"/>
    <w:uiPriority w:val="99"/>
    <w:rsid w:val="007e38a1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rsid w:val="007e38a1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odyTextIndent2">
    <w:name w:val="Body Text Indent 2"/>
    <w:basedOn w:val="Normal"/>
    <w:qFormat/>
    <w:rsid w:val="00857722"/>
    <w:pPr>
      <w:ind w:firstLine="709"/>
      <w:jc w:val="both"/>
      <w:textAlignment w:val="baseline"/>
    </w:pPr>
    <w:rPr>
      <w:rFonts w:eastAsia="MS Mincho"/>
      <w:spacing w:val="-2"/>
      <w:sz w:val="28"/>
      <w:szCs w:val="20"/>
    </w:rPr>
  </w:style>
  <w:style w:type="paragraph" w:styleId="BodyTextIndent3">
    <w:name w:val="Body Text Indent 3"/>
    <w:basedOn w:val="Normal"/>
    <w:qFormat/>
    <w:rsid w:val="004f6bbf"/>
    <w:pPr>
      <w:spacing w:before="0" w:after="120"/>
      <w:ind w:left="283"/>
    </w:pPr>
    <w:rPr>
      <w:sz w:val="16"/>
      <w:szCs w:val="16"/>
    </w:rPr>
  </w:style>
  <w:style w:type="paragraph" w:styleId="BalloonText">
    <w:name w:val="Balloon Text"/>
    <w:basedOn w:val="Normal"/>
    <w:semiHidden/>
    <w:qFormat/>
    <w:rsid w:val="00295c9f"/>
    <w:pPr/>
    <w:rPr>
      <w:rFonts w:ascii="Tahoma" w:hAnsi="Tahoma" w:cs="Tahoma"/>
      <w:sz w:val="16"/>
      <w:szCs w:val="16"/>
    </w:rPr>
  </w:style>
  <w:style w:type="paragraph" w:styleId="Title">
    <w:name w:val="Title"/>
    <w:basedOn w:val="Normal"/>
    <w:qFormat/>
    <w:rsid w:val="007a3790"/>
    <w:pPr>
      <w:jc w:val="center"/>
      <w:textAlignment w:val="baseline"/>
    </w:pPr>
    <w:rPr>
      <w:b/>
      <w:iCs/>
      <w:spacing w:val="-2"/>
      <w:sz w:val="28"/>
      <w:szCs w:val="20"/>
    </w:rPr>
  </w:style>
  <w:style w:type="paragraph" w:styleId="Style15" w:customStyle="1">
    <w:name w:val="Знак"/>
    <w:basedOn w:val="Normal"/>
    <w:qFormat/>
    <w:rsid w:val="007a3790"/>
    <w:pPr>
      <w:widowControl w:val="false"/>
      <w:spacing w:lineRule="exact" w:line="240" w:before="0" w:after="160"/>
      <w:jc w:val="right"/>
    </w:pPr>
    <w:rPr>
      <w:sz w:val="20"/>
      <w:szCs w:val="20"/>
      <w:lang w:val="en-GB" w:eastAsia="en-US"/>
    </w:rPr>
  </w:style>
  <w:style w:type="paragraph" w:styleId="1" w:customStyle="1">
    <w:name w:val="Знак Знак1 Знак"/>
    <w:basedOn w:val="Normal"/>
    <w:qFormat/>
    <w:rsid w:val="00cc7303"/>
    <w:pPr>
      <w:widowControl w:val="false"/>
      <w:spacing w:lineRule="exact" w:line="240" w:before="0" w:after="160"/>
      <w:jc w:val="right"/>
    </w:pPr>
    <w:rPr>
      <w:sz w:val="20"/>
      <w:szCs w:val="20"/>
      <w:lang w:val="en-GB" w:eastAsia="en-US"/>
    </w:rPr>
  </w:style>
  <w:style w:type="paragraph" w:styleId="NormalWeb">
    <w:name w:val="Normal (Web)"/>
    <w:basedOn w:val="Normal"/>
    <w:uiPriority w:val="99"/>
    <w:unhideWhenUsed/>
    <w:qFormat/>
    <w:rsid w:val="00dd4e68"/>
    <w:pPr>
      <w:spacing w:beforeAutospacing="1" w:afterAutospacing="1"/>
    </w:pPr>
    <w:rPr>
      <w:rFonts w:eastAsia="" w:eastAsiaTheme="minorEastAsia"/>
    </w:rPr>
  </w:style>
  <w:style w:type="paragraph" w:styleId="ListParagraph">
    <w:name w:val="List Paragraph"/>
    <w:basedOn w:val="Normal"/>
    <w:uiPriority w:val="34"/>
    <w:qFormat/>
    <w:rsid w:val="005b5e56"/>
    <w:pPr>
      <w:spacing w:before="0" w:after="0"/>
      <w:ind w:left="720"/>
      <w:contextualSpacing/>
    </w:pPr>
    <w:rPr/>
  </w:style>
  <w:style w:type="numbering" w:styleId="Style16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Grid"/>
    <w:basedOn w:val="a1"/>
    <w:rsid w:val="001301c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header" Target="header4.xml"/><Relationship Id="rId9" Type="http://schemas.openxmlformats.org/officeDocument/2006/relationships/header" Target="header5.xml"/><Relationship Id="rId10" Type="http://schemas.openxmlformats.org/officeDocument/2006/relationships/header" Target="header6.xml"/><Relationship Id="rId11" Type="http://schemas.openxmlformats.org/officeDocument/2006/relationships/footer" Target="footer4.xml"/><Relationship Id="rId12" Type="http://schemas.openxmlformats.org/officeDocument/2006/relationships/footer" Target="footer5.xml"/><Relationship Id="rId13" Type="http://schemas.openxmlformats.org/officeDocument/2006/relationships/footer" Target="footer6.xml"/><Relationship Id="rId14" Type="http://schemas.openxmlformats.org/officeDocument/2006/relationships/fontTable" Target="fontTable.xml"/><Relationship Id="rId15" Type="http://schemas.openxmlformats.org/officeDocument/2006/relationships/settings" Target="settings.xml"/><Relationship Id="rId16" Type="http://schemas.openxmlformats.org/officeDocument/2006/relationships/theme" Target="theme/theme1.xml"/><Relationship Id="rId1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578B7-3908-4E09-B938-6FFCD1E87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Application>LibreOffice/25.2.7.2$Windows_X86_64 LibreOffice_project/5cbfd1ab6520636bb5f7b99185aa69bd7456825d</Application>
  <AppVersion>15.0000</AppVersion>
  <Pages>11</Pages>
  <Words>3137</Words>
  <Characters>16911</Characters>
  <CharactersWithSpaces>19681</CharactersWithSpaces>
  <Paragraphs>423</Paragraphs>
  <Company>VNIIPO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2026-07-09T09:29:00Z</dcterms:created>
  <dc:creator>Зуева</dc:creator>
  <dc:description/>
  <dc:language>ru-RU</dc:language>
  <cp:lastModifiedBy/>
  <cp:lastPrinted>2021-11-10T11:42:00Z</cp:lastPrinted>
  <dcterms:modified xsi:type="dcterms:W3CDTF">2026-09-09T16:52:41Z</dcterms:modified>
  <cp:revision>19</cp:revision>
  <dc:subject/>
  <dc:title>МИНИСТЕРСТВО РОССИЙСКОЙ ФЕДЕРАЦИИ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